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D7" w:rsidRDefault="000B6394" w:rsidP="00A466D7">
      <w:pPr>
        <w:autoSpaceDE w:val="0"/>
        <w:autoSpaceDN w:val="0"/>
        <w:adjustRightInd w:val="0"/>
        <w:spacing w:after="0" w:line="240" w:lineRule="auto"/>
        <w:rPr>
          <w:rFonts w:ascii="Times New Roman" w:hAnsi="Times New Roman" w:cs="Times New Roman"/>
          <w:b/>
          <w:color w:val="000000"/>
          <w:sz w:val="24"/>
          <w:szCs w:val="24"/>
        </w:rPr>
      </w:pPr>
      <w:r w:rsidRPr="000B6394">
        <w:rPr>
          <w:rFonts w:ascii="Times New Roman" w:hAnsi="Times New Roman" w:cs="Times New Roman"/>
          <w:b/>
          <w:color w:val="000000"/>
          <w:sz w:val="24"/>
          <w:szCs w:val="24"/>
        </w:rPr>
        <w:t>KALİTE POLİTİKASI</w:t>
      </w:r>
    </w:p>
    <w:p w:rsidR="00A466D7" w:rsidRDefault="00A466D7" w:rsidP="00A466D7">
      <w:pPr>
        <w:autoSpaceDE w:val="0"/>
        <w:autoSpaceDN w:val="0"/>
        <w:adjustRightInd w:val="0"/>
        <w:spacing w:after="0" w:line="240" w:lineRule="auto"/>
        <w:rPr>
          <w:rFonts w:ascii="Times New Roman" w:hAnsi="Times New Roman" w:cs="Times New Roman"/>
          <w:b/>
          <w:color w:val="000000"/>
          <w:sz w:val="24"/>
          <w:szCs w:val="24"/>
        </w:rPr>
      </w:pP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color w:val="000000"/>
          <w:lang w:eastAsia="tr-TR"/>
        </w:rPr>
        <w:t xml:space="preserve">Hastanemiz Kalite Yönetim Sistemi, T.C. Sağlık Bakanlığı Sağlıkta Kalite Standartları ve uymakla yükümlü olduğumuz yasal mevzuatlar kapsamında sürekli iyileşme ve gelişmeyi benimseyen bir yaklaşımı esas alarak, “ mükemmel hizmet sunumunu” </w:t>
      </w:r>
      <w:r>
        <w:rPr>
          <w:rFonts w:eastAsia="Times New Roman" w:cstheme="minorHAnsi"/>
          <w:color w:val="000000"/>
          <w:lang w:eastAsia="tr-TR"/>
        </w:rPr>
        <w:t>gerçekleştirmeyi amaçlar.</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color w:val="000000"/>
          <w:lang w:eastAsia="tr-TR"/>
        </w:rPr>
        <w:t>Hasta ve Hasta yakını ile anlaşmalı kurumların beklenti ve isteklerini ölçmek ve memnuniyetlerini sürekli iyileştirmek için süreçler belirlenir. Bu süreçlerin performanslarını ölçen iyile</w:t>
      </w:r>
      <w:r>
        <w:rPr>
          <w:rFonts w:eastAsia="Times New Roman" w:cstheme="minorHAnsi"/>
          <w:color w:val="000000"/>
          <w:lang w:eastAsia="tr-TR"/>
        </w:rPr>
        <w:t>ştirme faaliyetleri planlanır.</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color w:val="000000"/>
          <w:lang w:eastAsia="tr-TR"/>
        </w:rPr>
        <w:t xml:space="preserve">Kurumumuzda Kalite Yönetim Sistemi çalışmaları tüm birimler ve tüm çalışanlar tarafından yürütülmesi gereken bir faaliyet olarak kabul edilmektedir. Bu doğrultuda, tüm çalışanların Kalite Yönetimi ve kalite iyileştirmeleri konularında bilgi sahibi olmaları için sürekli eğitimler düzenlenerek uygulanır. Çalışanların kalite çalışmalarına katılımı teşvik </w:t>
      </w:r>
      <w:r>
        <w:rPr>
          <w:rFonts w:eastAsia="Times New Roman" w:cstheme="minorHAnsi"/>
          <w:color w:val="000000"/>
          <w:lang w:eastAsia="tr-TR"/>
        </w:rPr>
        <w:t>edilir.</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color w:val="000000"/>
          <w:lang w:eastAsia="tr-TR"/>
        </w:rPr>
        <w:t>Hizmet kalitesinin iyileştirilmesi için iş birliği içinde olunan firmalarla iyi ilişkiler kurulur ve performansları sürekli ölçülerek daha hızlı, daha ekonomik ve daha</w:t>
      </w:r>
      <w:r>
        <w:rPr>
          <w:rFonts w:eastAsia="Times New Roman" w:cstheme="minorHAnsi"/>
          <w:color w:val="000000"/>
          <w:lang w:eastAsia="tr-TR"/>
        </w:rPr>
        <w:t xml:space="preserve"> kaliteli hizmet temin edilir.</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color w:val="000000"/>
          <w:lang w:eastAsia="tr-TR"/>
        </w:rPr>
        <w:t>Çağdaş ve gelişmiş teknoloji kullanılarak hızlı ve doğru tanı ile tedaviyi gerçekleştirmek hedeflenir. Hastanemiz Kalite Yönetim Sistemi, şartlarına uygun şekilde çalışarak sistemin sürekli iyileştirilmesini sağlamak, başta üst yönetim olmak üzere, tüm çalışanların sorumluluğundadır.</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 xml:space="preserve">Bu anlamda </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Sunmuş olduğumuz tüm hizmetlerde, hasta odaklı, güvenilir, bütüncül yaklaşıma bağlı, bilimsel ve etik standartlara uygun, sürekli iyileştirmeye dayalı, hasta ve hasta yakınına yönelik eğitim ihtiyaçlarını karşılayan, duyarlı ve iyileştirici bir ortam sunan ve bakımda mükemmelliği hedefleye</w:t>
      </w:r>
      <w:r>
        <w:rPr>
          <w:rFonts w:eastAsia="Times New Roman" w:cstheme="minorHAnsi"/>
          <w:lang w:eastAsia="tr-TR"/>
        </w:rPr>
        <w:t>n tıbbi bakım hizmetleri sunmak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İş sağlığı ve güvenliği hizmetleri mevzuatlarına uygun, iş güvenliği kültürünün sürdürülebilir ve nitelikli gelişimi için çalışanlarımızın sağlığını ve güvenliğini tehdit eden faktörleri belirlemek, ortamdan kaynaklı enfeksiyonlardan korunmalarına yönelik önlem almak, sağlıklı ve güvenli bir çalışma ortamı sağlamak. </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Hasta hakları mevzuatına esas alarak hastanemizde sunmuş olduğumuz hizmetlerde hasta ve hasta yakınının süreçlere katılımını sağlamak, dilek öneri ve şikâyetlerini değerlendirerek hasta memnuniyetini artırmak. Hasta memnuniyet düzeylerini belli aralıklarda ölçmek ve gereken iyileştirmeleri yapmak.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Bakanlığınızın yayınladığı klinik rehberlere uygun olarak tetkik istemlerin yapılmasını sağlamak, tetkik hizmetlerinin etkin ve verimli yürütülmesini sağlamak, tetkiklerin en kısa sürede tamamlanmasını sağlamak.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Bilimsel gelişmelere uygun etkin ve etkili sağlık hizmeti sunmak için çalışanlarımıza sürekli eğitim desteği sağlamak, çalışanlarımızın memnuniyet ve motivasyon düzeylerini yükseltmek için çalışmalar yapmak, çalışan memnuniyet düzeyini belli aralıklarda ölçmek ve gereken iyileştirmeleri yapmak.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Sunmuş olduğumuz hizmetler ile ilgili tüm mevzuat ve standartlara uyum sağlamak, çalışanlarımızda kurum kültürü oluşturmak. Hizmetlerimizi değerlendirerek tüm çalışanların katılımını esas alarak sürekli ölçüm ve iyileştirmeyi hedeflemek sürekli iyileştirme faaliyetlerinde bulunmak.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Klinik rehberlere uygun ilaç kullanımını sağlayarak antibiyotik reçete oranının Türkiye ortalaması ve bir önceki dönem değerinin altında olmasını sağlamak.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Bilgi güvenliği yönetim sistemi ile ilgili tüm mevzuatları uygulayarak, tüm çalışan ve paydaşlarla birlikte bütüncül bir yaklaşımla, riskleri yönetmek ya da etkisini azaltmak. Siber saldırı durumlarına hazır olmak ve hizmetin aksamamasını sağlamak. </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t>Yıl içerisinde kısa-orta vade planlarımızı gerçekleştirebilmek ve tamamlayabilmek için gerekli çalışmaları yürütmek. Uzun vade planlarımız için de gerekli çalışmaları yaparak, çalışmalar için gereken proje ve desteği sağlamak.</w:t>
      </w:r>
    </w:p>
    <w:p w:rsidR="00A466D7" w:rsidRPr="00A466D7" w:rsidRDefault="00A466D7" w:rsidP="00A466D7">
      <w:pPr>
        <w:pStyle w:val="ListeParagraf"/>
        <w:numPr>
          <w:ilvl w:val="0"/>
          <w:numId w:val="3"/>
        </w:numPr>
        <w:autoSpaceDE w:val="0"/>
        <w:autoSpaceDN w:val="0"/>
        <w:adjustRightInd w:val="0"/>
        <w:spacing w:after="0" w:line="240" w:lineRule="auto"/>
        <w:ind w:left="130" w:hanging="357"/>
        <w:rPr>
          <w:rFonts w:ascii="Times New Roman" w:hAnsi="Times New Roman" w:cs="Times New Roman"/>
          <w:b/>
          <w:color w:val="000000"/>
          <w:sz w:val="24"/>
          <w:szCs w:val="24"/>
        </w:rPr>
      </w:pPr>
      <w:r w:rsidRPr="00A466D7">
        <w:rPr>
          <w:rFonts w:eastAsia="Times New Roman" w:cstheme="minorHAnsi"/>
          <w:lang w:eastAsia="tr-TR"/>
        </w:rPr>
        <w:lastRenderedPageBreak/>
        <w:t>Kurumumuzun vizyon misyon ve değerlerinden ödün vermeden; sürekli eğitim ve iyileştirme faaliyetlerinde bulunan, hizmette üst düzey sağlık standartlarını yakalayan, gelişmenin yazılı, ölçülebilir ve kanıta dayalı olmasını sağlayan, mevzuatlara bağlı, etkili ve verimli sağlık h</w:t>
      </w:r>
      <w:r>
        <w:rPr>
          <w:rFonts w:eastAsia="Times New Roman" w:cstheme="minorHAnsi"/>
          <w:lang w:eastAsia="tr-TR"/>
        </w:rPr>
        <w:t>izmeti sunmayı taahhüt ediyoruz</w:t>
      </w:r>
      <w:r w:rsidRPr="00A466D7">
        <w:rPr>
          <w:rFonts w:eastAsia="Times New Roman" w:cstheme="minorHAnsi"/>
          <w:lang w:eastAsia="tr-TR"/>
        </w:rPr>
        <w:t>.</w:t>
      </w:r>
    </w:p>
    <w:p w:rsidR="00A466D7" w:rsidRPr="00A466D7" w:rsidRDefault="00A466D7" w:rsidP="00A466D7">
      <w:pPr>
        <w:spacing w:line="240" w:lineRule="auto"/>
        <w:ind w:left="-284"/>
        <w:rPr>
          <w:rFonts w:cstheme="minorHAnsi"/>
        </w:rPr>
      </w:pPr>
    </w:p>
    <w:p w:rsidR="008615B5" w:rsidRPr="00A466D7" w:rsidRDefault="008615B5" w:rsidP="008615B5">
      <w:pPr>
        <w:autoSpaceDE w:val="0"/>
        <w:autoSpaceDN w:val="0"/>
        <w:adjustRightInd w:val="0"/>
        <w:spacing w:after="0" w:line="240" w:lineRule="auto"/>
        <w:rPr>
          <w:rFonts w:ascii="Times New Roman" w:hAnsi="Times New Roman" w:cs="Times New Roman"/>
          <w:sz w:val="23"/>
          <w:szCs w:val="23"/>
        </w:rPr>
      </w:pPr>
    </w:p>
    <w:sectPr w:rsidR="008615B5" w:rsidRPr="00A466D7" w:rsidSect="00EB20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51" w:rsidRDefault="000C2E51" w:rsidP="008615B5">
      <w:pPr>
        <w:spacing w:after="0" w:line="240" w:lineRule="auto"/>
      </w:pPr>
      <w:r>
        <w:separator/>
      </w:r>
    </w:p>
  </w:endnote>
  <w:endnote w:type="continuationSeparator" w:id="0">
    <w:p w:rsidR="000C2E51" w:rsidRDefault="000C2E51" w:rsidP="0086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B" w:rsidRDefault="00764E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B" w:rsidRDefault="00764E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B" w:rsidRDefault="00764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51" w:rsidRDefault="000C2E51" w:rsidP="008615B5">
      <w:pPr>
        <w:spacing w:after="0" w:line="240" w:lineRule="auto"/>
      </w:pPr>
      <w:r>
        <w:separator/>
      </w:r>
    </w:p>
  </w:footnote>
  <w:footnote w:type="continuationSeparator" w:id="0">
    <w:p w:rsidR="000C2E51" w:rsidRDefault="000C2E51" w:rsidP="0086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B" w:rsidRDefault="00764E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margin" w:tblpXSpec="center" w:tblpY="-609"/>
      <w:tblW w:w="1104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88"/>
      <w:gridCol w:w="3146"/>
      <w:gridCol w:w="2828"/>
      <w:gridCol w:w="432"/>
      <w:gridCol w:w="1203"/>
      <w:gridCol w:w="1443"/>
    </w:tblGrid>
    <w:tr w:rsidR="008615B5" w:rsidRPr="000B7E0C" w:rsidTr="00927FE5">
      <w:trPr>
        <w:trHeight w:val="744"/>
      </w:trPr>
      <w:tc>
        <w:tcPr>
          <w:tcW w:w="1988" w:type="dxa"/>
          <w:tcBorders>
            <w:top w:val="single" w:sz="4" w:space="0" w:color="auto"/>
            <w:left w:val="single" w:sz="4" w:space="0" w:color="auto"/>
            <w:bottom w:val="single" w:sz="4" w:space="0" w:color="auto"/>
            <w:right w:val="single" w:sz="4" w:space="0" w:color="auto"/>
          </w:tcBorders>
          <w:hideMark/>
        </w:tcPr>
        <w:p w:rsidR="008615B5" w:rsidRPr="000B7E0C" w:rsidRDefault="008615B5" w:rsidP="008615B5">
          <w:pPr>
            <w:tabs>
              <w:tab w:val="center" w:pos="1045"/>
            </w:tabs>
            <w:rPr>
              <w:rFonts w:ascii="Calibri" w:eastAsia="Calibri" w:hAnsi="Calibri" w:cs="Arial"/>
              <w:b/>
              <w:sz w:val="20"/>
              <w:szCs w:val="20"/>
            </w:rPr>
          </w:pPr>
          <w:r w:rsidRPr="000B7E0C">
            <w:rPr>
              <w:rFonts w:ascii="Calibri" w:eastAsia="Calibri" w:hAnsi="Calibri" w:cs="Arial"/>
              <w:b/>
              <w:sz w:val="20"/>
              <w:szCs w:val="20"/>
            </w:rPr>
            <w:tab/>
          </w:r>
          <w:r w:rsidRPr="000B7E0C">
            <w:rPr>
              <w:rFonts w:ascii="Calibri" w:eastAsia="Calibri" w:hAnsi="Calibri" w:cs="Arial"/>
              <w:noProof/>
              <w:sz w:val="20"/>
              <w:szCs w:val="20"/>
              <w:lang w:eastAsia="tr-TR"/>
            </w:rPr>
            <w:drawing>
              <wp:inline distT="0" distB="0" distL="0" distR="0" wp14:anchorId="237B73E5" wp14:editId="5219CD04">
                <wp:extent cx="933298" cy="59880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305" cy="607150"/>
                        </a:xfrm>
                        <a:prstGeom prst="rect">
                          <a:avLst/>
                        </a:prstGeom>
                        <a:noFill/>
                        <a:ln>
                          <a:noFill/>
                        </a:ln>
                      </pic:spPr>
                    </pic:pic>
                  </a:graphicData>
                </a:graphic>
              </wp:inline>
            </w:drawing>
          </w:r>
        </w:p>
      </w:tc>
      <w:tc>
        <w:tcPr>
          <w:tcW w:w="6406" w:type="dxa"/>
          <w:gridSpan w:val="3"/>
          <w:tcBorders>
            <w:top w:val="single" w:sz="4" w:space="0" w:color="auto"/>
            <w:left w:val="single" w:sz="4" w:space="0" w:color="auto"/>
            <w:bottom w:val="single" w:sz="4" w:space="0" w:color="auto"/>
            <w:right w:val="nil"/>
          </w:tcBorders>
          <w:vAlign w:val="center"/>
          <w:hideMark/>
        </w:tcPr>
        <w:p w:rsidR="008615B5" w:rsidRPr="008615B5" w:rsidRDefault="008615B5" w:rsidP="008615B5">
          <w:pPr>
            <w:jc w:val="center"/>
            <w:rPr>
              <w:rFonts w:ascii="Calibri" w:eastAsia="Calibri" w:hAnsi="Calibri" w:cs="Arial"/>
              <w:b/>
              <w:bCs/>
            </w:rPr>
          </w:pPr>
          <w:r w:rsidRPr="008615B5">
            <w:rPr>
              <w:b/>
            </w:rPr>
            <w:t>HADİM DEVLET HASTANESİ KALİTE POLİTİKASI</w:t>
          </w:r>
        </w:p>
      </w:tc>
      <w:tc>
        <w:tcPr>
          <w:tcW w:w="2646" w:type="dxa"/>
          <w:gridSpan w:val="2"/>
          <w:tcBorders>
            <w:top w:val="single" w:sz="4" w:space="0" w:color="auto"/>
            <w:left w:val="single" w:sz="4" w:space="0" w:color="auto"/>
            <w:bottom w:val="single" w:sz="4" w:space="0" w:color="auto"/>
            <w:right w:val="single" w:sz="4" w:space="0" w:color="auto"/>
          </w:tcBorders>
          <w:vAlign w:val="center"/>
          <w:hideMark/>
        </w:tcPr>
        <w:p w:rsidR="008615B5" w:rsidRPr="000B7E0C" w:rsidRDefault="008615B5" w:rsidP="008615B5">
          <w:pPr>
            <w:rPr>
              <w:rFonts w:ascii="Calibri" w:eastAsia="Calibri" w:hAnsi="Calibri" w:cs="Arial"/>
              <w:b/>
              <w:sz w:val="20"/>
              <w:szCs w:val="20"/>
            </w:rPr>
          </w:pPr>
          <w:r w:rsidRPr="000B7E0C">
            <w:rPr>
              <w:rFonts w:ascii="Calibri" w:eastAsia="Calibri" w:hAnsi="Calibri" w:cs="Arial"/>
              <w:b/>
              <w:noProof/>
              <w:sz w:val="20"/>
              <w:szCs w:val="20"/>
            </w:rPr>
            <w:t xml:space="preserve">          </w:t>
          </w:r>
          <w:r w:rsidRPr="000B7E0C">
            <w:rPr>
              <w:rFonts w:ascii="Calibri" w:eastAsia="Calibri" w:hAnsi="Calibri" w:cs="Arial"/>
              <w:b/>
              <w:noProof/>
              <w:sz w:val="20"/>
              <w:szCs w:val="20"/>
              <w:lang w:eastAsia="tr-TR"/>
            </w:rPr>
            <w:drawing>
              <wp:inline distT="0" distB="0" distL="0" distR="0" wp14:anchorId="42DAEE77" wp14:editId="63FB272A">
                <wp:extent cx="666750" cy="449855"/>
                <wp:effectExtent l="0" t="0" r="0" b="7620"/>
                <wp:docPr id="2" name="Resim 2" descr="hast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astan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856" cy="453975"/>
                        </a:xfrm>
                        <a:prstGeom prst="rect">
                          <a:avLst/>
                        </a:prstGeom>
                        <a:noFill/>
                        <a:ln>
                          <a:noFill/>
                        </a:ln>
                      </pic:spPr>
                    </pic:pic>
                  </a:graphicData>
                </a:graphic>
              </wp:inline>
            </w:drawing>
          </w:r>
        </w:p>
      </w:tc>
    </w:tr>
    <w:tr w:rsidR="008615B5" w:rsidRPr="000B7E0C" w:rsidTr="00927FE5">
      <w:trPr>
        <w:trHeight w:val="280"/>
      </w:trPr>
      <w:tc>
        <w:tcPr>
          <w:tcW w:w="1988" w:type="dxa"/>
          <w:tcBorders>
            <w:top w:val="single" w:sz="4" w:space="0" w:color="auto"/>
            <w:left w:val="single" w:sz="4" w:space="0" w:color="auto"/>
            <w:bottom w:val="single" w:sz="4" w:space="0" w:color="auto"/>
            <w:right w:val="single" w:sz="4" w:space="0" w:color="auto"/>
          </w:tcBorders>
          <w:hideMark/>
        </w:tcPr>
        <w:p w:rsidR="008615B5" w:rsidRPr="000B7E0C" w:rsidRDefault="008615B5" w:rsidP="008615B5">
          <w:pPr>
            <w:rPr>
              <w:rFonts w:eastAsia="Calibri"/>
              <w:sz w:val="16"/>
              <w:szCs w:val="16"/>
            </w:rPr>
          </w:pPr>
          <w:r w:rsidRPr="000B7E0C">
            <w:rPr>
              <w:rFonts w:eastAsia="Calibri"/>
              <w:b/>
              <w:sz w:val="16"/>
              <w:szCs w:val="16"/>
            </w:rPr>
            <w:t>Kod</w:t>
          </w:r>
          <w:r w:rsidRPr="000B7E0C">
            <w:rPr>
              <w:rFonts w:eastAsia="Calibri"/>
              <w:sz w:val="16"/>
              <w:szCs w:val="16"/>
            </w:rPr>
            <w:t xml:space="preserve">: </w:t>
          </w:r>
          <w:r w:rsidR="006B636A">
            <w:rPr>
              <w:rFonts w:eastAsia="Calibri"/>
              <w:sz w:val="16"/>
              <w:szCs w:val="16"/>
            </w:rPr>
            <w:t>KU.YD.08</w:t>
          </w:r>
        </w:p>
      </w:tc>
      <w:tc>
        <w:tcPr>
          <w:tcW w:w="3146" w:type="dxa"/>
          <w:tcBorders>
            <w:top w:val="single" w:sz="4" w:space="0" w:color="auto"/>
            <w:left w:val="single" w:sz="4" w:space="0" w:color="auto"/>
            <w:bottom w:val="single" w:sz="4" w:space="0" w:color="auto"/>
            <w:right w:val="single" w:sz="4" w:space="0" w:color="auto"/>
          </w:tcBorders>
          <w:hideMark/>
        </w:tcPr>
        <w:p w:rsidR="008615B5" w:rsidRPr="000B7E0C" w:rsidRDefault="008615B5" w:rsidP="008E3EC5">
          <w:pPr>
            <w:rPr>
              <w:rFonts w:eastAsia="Calibri"/>
              <w:b/>
              <w:sz w:val="16"/>
              <w:szCs w:val="16"/>
            </w:rPr>
          </w:pPr>
          <w:r w:rsidRPr="000B7E0C">
            <w:rPr>
              <w:rFonts w:eastAsia="Calibri"/>
              <w:b/>
              <w:sz w:val="16"/>
              <w:szCs w:val="16"/>
            </w:rPr>
            <w:t>Yay. Tarihi</w:t>
          </w:r>
          <w:r w:rsidRPr="000B7E0C">
            <w:rPr>
              <w:rFonts w:eastAsia="Calibri"/>
              <w:sz w:val="16"/>
              <w:szCs w:val="16"/>
            </w:rPr>
            <w:t xml:space="preserve">: </w:t>
          </w:r>
          <w:r w:rsidR="008E3EC5">
            <w:rPr>
              <w:rFonts w:eastAsia="Calibri"/>
              <w:sz w:val="16"/>
              <w:szCs w:val="16"/>
            </w:rPr>
            <w:t>05.11.2008</w:t>
          </w:r>
        </w:p>
      </w:tc>
      <w:tc>
        <w:tcPr>
          <w:tcW w:w="2828" w:type="dxa"/>
          <w:tcBorders>
            <w:top w:val="single" w:sz="4" w:space="0" w:color="auto"/>
            <w:left w:val="single" w:sz="4" w:space="0" w:color="auto"/>
            <w:bottom w:val="single" w:sz="4" w:space="0" w:color="auto"/>
            <w:right w:val="single" w:sz="4" w:space="0" w:color="auto"/>
          </w:tcBorders>
          <w:hideMark/>
        </w:tcPr>
        <w:p w:rsidR="008615B5" w:rsidRPr="000B7E0C" w:rsidRDefault="008615B5" w:rsidP="008615B5">
          <w:pPr>
            <w:rPr>
              <w:rFonts w:eastAsia="Calibri"/>
              <w:b/>
              <w:sz w:val="16"/>
              <w:szCs w:val="16"/>
            </w:rPr>
          </w:pPr>
          <w:r w:rsidRPr="000B7E0C">
            <w:rPr>
              <w:rFonts w:eastAsia="Calibri"/>
              <w:b/>
              <w:sz w:val="16"/>
              <w:szCs w:val="16"/>
            </w:rPr>
            <w:t>Rev. Tarihi:</w:t>
          </w:r>
          <w:r w:rsidR="00764EDB">
            <w:rPr>
              <w:rFonts w:eastAsia="Calibri"/>
              <w:b/>
              <w:sz w:val="16"/>
              <w:szCs w:val="16"/>
            </w:rPr>
            <w:t xml:space="preserve"> </w:t>
          </w:r>
          <w:r w:rsidR="00A1535C" w:rsidRPr="00764EDB">
            <w:rPr>
              <w:rFonts w:eastAsia="Calibri"/>
              <w:sz w:val="16"/>
              <w:szCs w:val="16"/>
            </w:rPr>
            <w:t>13.12</w:t>
          </w:r>
          <w:r w:rsidR="008E3EC5" w:rsidRPr="00764EDB">
            <w:rPr>
              <w:rFonts w:eastAsia="Calibri"/>
              <w:sz w:val="16"/>
              <w:szCs w:val="16"/>
            </w:rPr>
            <w:t>.2022</w:t>
          </w:r>
          <w:bookmarkStart w:id="0" w:name="_GoBack"/>
          <w:bookmarkEnd w:id="0"/>
        </w:p>
      </w:tc>
      <w:tc>
        <w:tcPr>
          <w:tcW w:w="1635" w:type="dxa"/>
          <w:gridSpan w:val="2"/>
          <w:tcBorders>
            <w:top w:val="single" w:sz="4" w:space="0" w:color="auto"/>
            <w:left w:val="single" w:sz="4" w:space="0" w:color="auto"/>
            <w:bottom w:val="single" w:sz="4" w:space="0" w:color="auto"/>
            <w:right w:val="single" w:sz="4" w:space="0" w:color="auto"/>
          </w:tcBorders>
          <w:hideMark/>
        </w:tcPr>
        <w:p w:rsidR="008615B5" w:rsidRPr="000B7E0C" w:rsidRDefault="008615B5" w:rsidP="008615B5">
          <w:pPr>
            <w:rPr>
              <w:rFonts w:eastAsia="Calibri"/>
              <w:b/>
              <w:sz w:val="16"/>
              <w:szCs w:val="16"/>
            </w:rPr>
          </w:pPr>
          <w:r w:rsidRPr="000B7E0C">
            <w:rPr>
              <w:rFonts w:eastAsia="Calibri"/>
              <w:b/>
              <w:sz w:val="16"/>
              <w:szCs w:val="16"/>
            </w:rPr>
            <w:t>Rev. No</w:t>
          </w:r>
          <w:r w:rsidRPr="000B7E0C">
            <w:rPr>
              <w:rFonts w:eastAsia="Calibri"/>
              <w:sz w:val="16"/>
              <w:szCs w:val="16"/>
            </w:rPr>
            <w:t>: 0</w:t>
          </w:r>
          <w:r w:rsidR="00A1535C">
            <w:rPr>
              <w:rFonts w:eastAsia="Calibri"/>
              <w:sz w:val="16"/>
              <w:szCs w:val="16"/>
            </w:rPr>
            <w:t>4</w:t>
          </w:r>
        </w:p>
      </w:tc>
      <w:tc>
        <w:tcPr>
          <w:tcW w:w="1441" w:type="dxa"/>
          <w:tcBorders>
            <w:top w:val="single" w:sz="4" w:space="0" w:color="auto"/>
            <w:left w:val="single" w:sz="4" w:space="0" w:color="auto"/>
            <w:bottom w:val="single" w:sz="4" w:space="0" w:color="auto"/>
            <w:right w:val="single" w:sz="4" w:space="0" w:color="auto"/>
          </w:tcBorders>
          <w:hideMark/>
        </w:tcPr>
        <w:p w:rsidR="008615B5" w:rsidRPr="000B7E0C" w:rsidRDefault="008615B5" w:rsidP="008615B5">
          <w:pPr>
            <w:rPr>
              <w:rFonts w:eastAsia="Calibri"/>
              <w:b/>
              <w:sz w:val="16"/>
              <w:szCs w:val="16"/>
            </w:rPr>
          </w:pPr>
          <w:r w:rsidRPr="000B7E0C">
            <w:rPr>
              <w:rFonts w:eastAsia="Calibri"/>
              <w:b/>
              <w:sz w:val="16"/>
              <w:szCs w:val="16"/>
            </w:rPr>
            <w:t xml:space="preserve">Sayfa </w:t>
          </w:r>
          <w:r w:rsidRPr="000B7E0C">
            <w:rPr>
              <w:rFonts w:eastAsia="Calibri"/>
              <w:b/>
              <w:sz w:val="16"/>
              <w:szCs w:val="16"/>
            </w:rPr>
            <w:fldChar w:fldCharType="begin"/>
          </w:r>
          <w:r w:rsidRPr="000B7E0C">
            <w:rPr>
              <w:rFonts w:eastAsia="Calibri"/>
              <w:b/>
              <w:sz w:val="16"/>
              <w:szCs w:val="16"/>
            </w:rPr>
            <w:instrText>PAGE   \* MERGEFORMAT</w:instrText>
          </w:r>
          <w:r w:rsidRPr="000B7E0C">
            <w:rPr>
              <w:rFonts w:eastAsia="Calibri"/>
              <w:b/>
              <w:sz w:val="16"/>
              <w:szCs w:val="16"/>
            </w:rPr>
            <w:fldChar w:fldCharType="separate"/>
          </w:r>
          <w:r w:rsidR="00764EDB">
            <w:rPr>
              <w:rFonts w:eastAsia="Calibri"/>
              <w:b/>
              <w:noProof/>
              <w:sz w:val="16"/>
              <w:szCs w:val="16"/>
            </w:rPr>
            <w:t>1</w:t>
          </w:r>
          <w:r w:rsidRPr="000B7E0C">
            <w:rPr>
              <w:rFonts w:eastAsia="Calibri"/>
              <w:b/>
              <w:sz w:val="16"/>
              <w:szCs w:val="16"/>
            </w:rPr>
            <w:fldChar w:fldCharType="end"/>
          </w:r>
          <w:r w:rsidRPr="000B7E0C">
            <w:rPr>
              <w:rFonts w:eastAsia="Calibri"/>
              <w:b/>
              <w:sz w:val="16"/>
              <w:szCs w:val="16"/>
            </w:rPr>
            <w:t xml:space="preserve"> / </w:t>
          </w:r>
          <w:r w:rsidR="00A1535C">
            <w:rPr>
              <w:rFonts w:eastAsia="Calibri"/>
              <w:b/>
              <w:noProof/>
              <w:sz w:val="16"/>
              <w:szCs w:val="16"/>
            </w:rPr>
            <w:t>2</w:t>
          </w:r>
        </w:p>
      </w:tc>
    </w:tr>
  </w:tbl>
  <w:p w:rsidR="008615B5" w:rsidRDefault="00FE4973">
    <w:pPr>
      <w:pStyle w:val="stbilgi"/>
    </w:pPr>
    <w:r>
      <w:t>KU.YD.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DB" w:rsidRDefault="00764E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3BD0"/>
    <w:multiLevelType w:val="hybridMultilevel"/>
    <w:tmpl w:val="AAA4C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303B37"/>
    <w:multiLevelType w:val="multilevel"/>
    <w:tmpl w:val="D76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F8225E"/>
    <w:multiLevelType w:val="hybridMultilevel"/>
    <w:tmpl w:val="3222CF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15"/>
    <w:rsid w:val="000B6394"/>
    <w:rsid w:val="000C2E51"/>
    <w:rsid w:val="000E7A0F"/>
    <w:rsid w:val="00153D0E"/>
    <w:rsid w:val="00204743"/>
    <w:rsid w:val="00227EFB"/>
    <w:rsid w:val="00362D5C"/>
    <w:rsid w:val="005A4F6C"/>
    <w:rsid w:val="00610D2A"/>
    <w:rsid w:val="00653E64"/>
    <w:rsid w:val="006B636A"/>
    <w:rsid w:val="00764EDB"/>
    <w:rsid w:val="00794091"/>
    <w:rsid w:val="007B6AA5"/>
    <w:rsid w:val="007C39B7"/>
    <w:rsid w:val="007D0C56"/>
    <w:rsid w:val="008524D6"/>
    <w:rsid w:val="008615B5"/>
    <w:rsid w:val="008E3EC5"/>
    <w:rsid w:val="00A1535C"/>
    <w:rsid w:val="00A466D7"/>
    <w:rsid w:val="00BE6C92"/>
    <w:rsid w:val="00E40F90"/>
    <w:rsid w:val="00E81415"/>
    <w:rsid w:val="00EB206A"/>
    <w:rsid w:val="00FE4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DDCBC-AC23-42E7-AD9A-3A94338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15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5B5"/>
  </w:style>
  <w:style w:type="paragraph" w:styleId="Altbilgi">
    <w:name w:val="footer"/>
    <w:basedOn w:val="Normal"/>
    <w:link w:val="AltbilgiChar"/>
    <w:uiPriority w:val="99"/>
    <w:unhideWhenUsed/>
    <w:rsid w:val="008615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5B5"/>
  </w:style>
  <w:style w:type="paragraph" w:customStyle="1" w:styleId="Default">
    <w:name w:val="Default"/>
    <w:rsid w:val="008615B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615B5"/>
    <w:pPr>
      <w:ind w:left="720"/>
      <w:contextualSpacing/>
    </w:pPr>
  </w:style>
  <w:style w:type="table" w:styleId="TabloKlavuzu">
    <w:name w:val="Table Grid"/>
    <w:basedOn w:val="NormalTablo"/>
    <w:uiPriority w:val="39"/>
    <w:rsid w:val="00861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0F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3063">
      <w:bodyDiv w:val="1"/>
      <w:marLeft w:val="0"/>
      <w:marRight w:val="0"/>
      <w:marTop w:val="0"/>
      <w:marBottom w:val="0"/>
      <w:divBdr>
        <w:top w:val="none" w:sz="0" w:space="0" w:color="auto"/>
        <w:left w:val="none" w:sz="0" w:space="0" w:color="auto"/>
        <w:bottom w:val="none" w:sz="0" w:space="0" w:color="auto"/>
        <w:right w:val="none" w:sz="0" w:space="0" w:color="auto"/>
      </w:divBdr>
      <w:divsChild>
        <w:div w:id="1238245749">
          <w:marLeft w:val="0"/>
          <w:marRight w:val="0"/>
          <w:marTop w:val="0"/>
          <w:marBottom w:val="0"/>
          <w:divBdr>
            <w:top w:val="none" w:sz="0" w:space="0" w:color="auto"/>
            <w:left w:val="none" w:sz="0" w:space="0" w:color="auto"/>
            <w:bottom w:val="none" w:sz="0" w:space="0" w:color="auto"/>
            <w:right w:val="none" w:sz="0" w:space="0" w:color="auto"/>
          </w:divBdr>
          <w:divsChild>
            <w:div w:id="1855875992">
              <w:marLeft w:val="-225"/>
              <w:marRight w:val="-225"/>
              <w:marTop w:val="0"/>
              <w:marBottom w:val="0"/>
              <w:divBdr>
                <w:top w:val="none" w:sz="0" w:space="0" w:color="auto"/>
                <w:left w:val="none" w:sz="0" w:space="0" w:color="auto"/>
                <w:bottom w:val="none" w:sz="0" w:space="0" w:color="auto"/>
                <w:right w:val="none" w:sz="0" w:space="0" w:color="auto"/>
              </w:divBdr>
              <w:divsChild>
                <w:div w:id="825125545">
                  <w:marLeft w:val="0"/>
                  <w:marRight w:val="0"/>
                  <w:marTop w:val="0"/>
                  <w:marBottom w:val="0"/>
                  <w:divBdr>
                    <w:top w:val="none" w:sz="0" w:space="0" w:color="auto"/>
                    <w:left w:val="none" w:sz="0" w:space="0" w:color="auto"/>
                    <w:bottom w:val="none" w:sz="0" w:space="0" w:color="auto"/>
                    <w:right w:val="none" w:sz="0" w:space="0" w:color="auto"/>
                  </w:divBdr>
                  <w:divsChild>
                    <w:div w:id="87119606">
                      <w:marLeft w:val="0"/>
                      <w:marRight w:val="0"/>
                      <w:marTop w:val="0"/>
                      <w:marBottom w:val="0"/>
                      <w:divBdr>
                        <w:top w:val="none" w:sz="0" w:space="0" w:color="auto"/>
                        <w:left w:val="none" w:sz="0" w:space="0" w:color="auto"/>
                        <w:bottom w:val="none" w:sz="0" w:space="0" w:color="auto"/>
                        <w:right w:val="none" w:sz="0" w:space="0" w:color="auto"/>
                      </w:divBdr>
                      <w:divsChild>
                        <w:div w:id="1435133462">
                          <w:marLeft w:val="0"/>
                          <w:marRight w:val="0"/>
                          <w:marTop w:val="0"/>
                          <w:marBottom w:val="0"/>
                          <w:divBdr>
                            <w:top w:val="none" w:sz="0" w:space="0" w:color="auto"/>
                            <w:left w:val="none" w:sz="0" w:space="0" w:color="auto"/>
                            <w:bottom w:val="none" w:sz="0" w:space="0" w:color="auto"/>
                            <w:right w:val="none" w:sz="0" w:space="0" w:color="auto"/>
                          </w:divBdr>
                          <w:divsChild>
                            <w:div w:id="4379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0EEB-7978-466F-AC2D-2BFB0575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KALİTEBİRİMİ01</dc:creator>
  <cp:lastModifiedBy>KALİTEBİRİMİ01</cp:lastModifiedBy>
  <cp:revision>8</cp:revision>
  <cp:lastPrinted>2022-05-12T10:23:00Z</cp:lastPrinted>
  <dcterms:created xsi:type="dcterms:W3CDTF">2022-05-12T09:56:00Z</dcterms:created>
  <dcterms:modified xsi:type="dcterms:W3CDTF">2022-12-13T09:34:00Z</dcterms:modified>
</cp:coreProperties>
</file>